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人大附中航天城学校二期工程控制点留设、规划测量项目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控制测量、灰线测量、正负零测量、封顶测量、竣工测量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根据施工现场进度，依据规划许可证测绘，并出具报告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控制测量平面精度不低于三级，高程精度不低于等外，选点需能够长期保存，便于后期各阶段测绘使用。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