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景祥110kV输变电隧道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2024-11-211Z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编号：XA912K-T4-04
工程名称	景祥110kV输变电隧道	工程编号	XA912K
提出专业	电缆结构	资料名称	测图提资单（站址移位）
提资人		校核人		批准人	
接收专业	测量	接收人	
 资料内容:（附图      张；图号                       附表（页）            张）
工程概况：
为满足本工程电缆敷设需求，需新建本工程电力管线。
本工程新建隧道起点为现状隧道，隧道向北折向东再折向北再折向东，终点接变电站。隧道全长约400m。
调图范围：隧道轴线两侧各50m范围测图。详见平面图。变电站范围的测图需扩大范围，至变电站东南侧10m范围。至变电站西北侧。
要求：
测量时要求测出此范围内地上物、地下管线的路径及标高及地下构筑物道路红线等。
提供：1:500平面图（包含道路红线）及电子图。
                                                                    2024年11月21日                    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