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定福皇庄110kV输变电工程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2024-11-210Z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编号：01
工程名称	定福皇庄110kV输变电工程	工程编号	XA912K
提出专业	建筑专业	资料名称	测图提资
提资人	邱文哲	校核人		批准人	
接收专业	勘测	接收人	
 资料内容:（附图      张；图号                       附表（页）            张）
一．工程概况
本工程为新建110kV变电站，采用模块化智能变电站一栋楼模式（典设模块：BJ-110-A2-5），用地面积约6300平方米，站内建筑物有配电装置楼、消防泵房及生产辅助用房。
终期规模：安装110/10.5kV 50MVA主变4台。
站址位于北京市昌平区，规划CP01-0601-0060地块。具体位置详见附图。
变电站区域 1：500 地形图
二．测图范围
详见附图。
三．测图要求
    按1：500比例，重点为站址范围现状地面建、构筑物（地上附着物、地下构筑物及管线等），以及周边道路情况（规划路应标出相应宽度）。
    因为测绘图将作为土方图计算依据，站区范围内应按10mx10m方格网提供测绘地形高程。同时应提供周边道路控制高程，尤其靠近站区附近高程。
    现场测绘如有问题，请及时反馈。
四．产品交付日期和有关要求：
          交付日期：2024年11月28日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