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人大附中航天城学校二期工程控制点留设、规划测量项目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2024-08-159Z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史魏鑫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13911180843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北京市海淀区教育委员会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控制测量、灰线测量、正负零测量、封顶测量、竣工测量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根据施工现场进度，依据规划许可证测绘，并出具报告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控制测量平面精度不低于三级，高程精度不低于等外，选点需能够长期保存，便于后期各阶段测绘使用。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2024-08-22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